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11"/>
        <w:tblW w:w="1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2066"/>
        <w:gridCol w:w="3402"/>
        <w:gridCol w:w="1145"/>
        <w:gridCol w:w="2256"/>
        <w:gridCol w:w="1538"/>
      </w:tblGrid>
      <w:tr w:rsidR="00CA5F6E" w:rsidRPr="001F1ACE" w:rsidTr="005A6EDE">
        <w:trPr>
          <w:trHeight w:val="8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A6EDE">
              <w:rPr>
                <w:rFonts w:ascii="Arial" w:eastAsia="Calibri" w:hAnsi="Arial" w:cs="Arial"/>
                <w:bCs/>
                <w:sz w:val="18"/>
                <w:szCs w:val="18"/>
              </w:rPr>
              <w:t>Lp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F1AC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parametrów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Wymagane parametry techniczne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1F1ACE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Zakres wymagań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1F1ACE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Parametry oferowane, opis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1F1ACE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Ocena punktowa</w:t>
            </w:r>
          </w:p>
        </w:tc>
      </w:tr>
      <w:tr w:rsidR="00CA5F6E" w:rsidRPr="001F1ACE" w:rsidTr="005A6ED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6ED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862FF9" w:rsidRDefault="00CA5F6E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2FF9">
              <w:rPr>
                <w:rFonts w:ascii="Arial" w:eastAsia="Calibri" w:hAnsi="Arial" w:cs="Arial"/>
                <w:sz w:val="18"/>
                <w:szCs w:val="18"/>
              </w:rPr>
              <w:t>Zestaw aparatury do analiz genomicznych w emulsji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9073AA" w:rsidRDefault="00D502FF" w:rsidP="005A6ED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73AA">
              <w:rPr>
                <w:rFonts w:ascii="Arial" w:hAnsi="Arial" w:cs="Arial"/>
                <w:color w:val="000000" w:themeColor="text1"/>
                <w:sz w:val="18"/>
                <w:szCs w:val="18"/>
              </w:rPr>
              <w:t>W skład zestawu musi wchodzić, generator emulsji, czytnik próbek, komputer przenośny do sterowania systemem oraz analizy wyników i danych, termocykler 96 dołkowy, zgrzewarka do folii na płytkach, oprogramowanie do zbierania i analizy wyników.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6ED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862FF9" w:rsidRDefault="00CA5F6E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2FF9">
              <w:rPr>
                <w:rFonts w:ascii="Arial" w:eastAsia="Calibri" w:hAnsi="Arial" w:cs="Arial"/>
                <w:sz w:val="18"/>
                <w:szCs w:val="18"/>
              </w:rPr>
              <w:t>Funkcje zestawu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9073AA" w:rsidRDefault="00D502FF" w:rsidP="005A6E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73AA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Generator emulsji musi umożliwiać pracę z kartridżami, na co najmniej osiem próbek każdy.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  <w:r w:rsidR="00895688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/NIE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NIE – 0 pkt</w:t>
            </w:r>
          </w:p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 -5 pkt</w:t>
            </w: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9073AA" w:rsidRDefault="00D502FF" w:rsidP="005A6E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73AA">
              <w:rPr>
                <w:rFonts w:ascii="Arial" w:hAnsi="Arial" w:cs="Arial"/>
                <w:color w:val="000000" w:themeColor="text1"/>
                <w:sz w:val="18"/>
                <w:szCs w:val="18"/>
              </w:rPr>
              <w:t>Wchodzący w skład generator musi umożliwiać wytwarzanie do 20000 pojedynczych kropli emulsji olejowej (objętości ok. 1nl każda) z wykorzystaniem 20 ul mieszanin reakcyjnych do PCR, na kardridżach procesujących jednocześnie 8 próbek, w czasie nie dłuższym niż 3 min.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Wytworzona olejowa zawiesina emulsyjna musi pozwalać na amplifikację zawartego w niej produktu z wykorzystaniem techniki PCR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 xml:space="preserve">Wchodzący w skład systemu czytnik reakcji w olejowej zawiesinie emulsyjnej musi umożliwiać odczyt na zasadzie ekscytacji i detekcji fluorescencji dla każdej pojedynczej kropli, minimalnie 32 próbek na godzinę.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Czytnik musi pozwalać na pracę z barwnikami fluorescencyjnymi FAM oraz VIC (HEX alternatywnie). System współpracuje z sondami typu TaqMan. System musi pozwalać na użycie barwnika EvaGreen. System musi umożliwiać pracę z płytkami PCR w formacie 96 dołkowym.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  <w:r w:rsidR="00D822C7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/NIE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NIE – 0 pkt</w:t>
            </w:r>
          </w:p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 -5 pkt</w:t>
            </w: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Czytnik musi być wyposażony w dwie indywidualne diody LED do wzbudzenia barwników oraz dwa niezależne kanały fotopowielacza (każdy do oddzielnego kanału)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Jednoczesna automatyczna detekcja w obu kanałach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 xml:space="preserve">System powinien zapewniać liniowy zakres dynamiczny wynoszący minimalnie 5 rzędów wielkości dla </w:t>
            </w:r>
            <w:r w:rsidRPr="001F1ACE">
              <w:rPr>
                <w:rFonts w:ascii="Arial" w:hAnsi="Arial" w:cs="Arial"/>
                <w:sz w:val="18"/>
                <w:szCs w:val="18"/>
              </w:rPr>
              <w:lastRenderedPageBreak/>
              <w:t>próbki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System powinien umożliwiać detekcję jednaj kopii analizowanej sekwencji w próbce DNA oraz rozróżnienie minimalnie 4-5 kopii pomiędzy analizowanymi próbkami.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Umożliwia osiągnięcie precyzji w zakresie ±10%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Default="00CA5F6E" w:rsidP="005A6EDE">
            <w:pPr>
              <w:jc w:val="center"/>
            </w:pPr>
            <w:r w:rsidRPr="008651E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 xml:space="preserve">Oprogramowanie musi: </w:t>
            </w:r>
          </w:p>
          <w:p w:rsidR="00CA5F6E" w:rsidRPr="001F1ACE" w:rsidRDefault="00CA5F6E" w:rsidP="005A6EDE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umożliwiać wyświetlanie wyników pomiarów fluorescencji w pojedynczej kropli emulsyjnej dla obu kanałów FAM i VIC oraz EvaGreen</w:t>
            </w:r>
          </w:p>
          <w:p w:rsidR="00CA5F6E" w:rsidRPr="001F1ACE" w:rsidRDefault="00CA5F6E" w:rsidP="005A6EDE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prezentować wyniki w multipleksie minimalnie do 2 fluoroforów na kroplę.</w:t>
            </w:r>
          </w:p>
          <w:p w:rsidR="00CA5F6E" w:rsidRPr="001F1ACE" w:rsidRDefault="00CA5F6E" w:rsidP="005A6EDE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pozwalać na analizę stężenia dla każdej próbki.</w:t>
            </w:r>
          </w:p>
          <w:p w:rsidR="00CA5F6E" w:rsidRPr="001F1ACE" w:rsidRDefault="00CA5F6E" w:rsidP="005A6EDE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umożliwiać określanie ilości kopii, detekcję mutacji, analizę ekspresji genów</w:t>
            </w:r>
          </w:p>
          <w:p w:rsidR="00CA5F6E" w:rsidRPr="001F1ACE" w:rsidRDefault="00CA5F6E" w:rsidP="005A6EDE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umożliwiać łączenie wyników z dołków w powtórzeniach</w:t>
            </w:r>
          </w:p>
          <w:p w:rsidR="00CA5F6E" w:rsidRPr="001F1ACE" w:rsidRDefault="00CA5F6E" w:rsidP="005A6EDE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 xml:space="preserve">umożliwiać eksport danych w formie tabel czy wykresów do Excela </w:t>
            </w:r>
          </w:p>
          <w:p w:rsidR="00CA5F6E" w:rsidRPr="001F1ACE" w:rsidRDefault="00CA5F6E" w:rsidP="005A6E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Użytkownik musi mieć możliwość manualnego dopasowania wartości progowej dla analizy całej płytki lub indywidualnej próbki.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Default="00CA5F6E" w:rsidP="005A6EDE">
            <w:pPr>
              <w:jc w:val="center"/>
            </w:pPr>
            <w:r w:rsidRPr="008651E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W skład systemu musi wchodzić termocykler o minimalnych parametrach:</w:t>
            </w:r>
          </w:p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 xml:space="preserve">w technologii Peltier </w:t>
            </w:r>
          </w:p>
          <w:p w:rsidR="00CA5F6E" w:rsidRPr="001F1ACE" w:rsidRDefault="00CA5F6E" w:rsidP="005A6E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 w:rsidRPr="001F1ACE">
              <w:rPr>
                <w:rFonts w:ascii="Arial" w:hAnsi="Arial" w:cs="Arial"/>
                <w:sz w:val="18"/>
                <w:szCs w:val="18"/>
              </w:rPr>
              <w:t xml:space="preserve"> dołków dla 96 próbówek 0,2 ml lub 48 probówek 0,5 ml</w:t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 xml:space="preserve"> z gradientem termicznym </w:t>
            </w:r>
          </w:p>
          <w:p w:rsidR="00CA5F6E" w:rsidRPr="001F1ACE" w:rsidRDefault="00CA5F6E" w:rsidP="005A6E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>Musi posiadać ogrzewaną pokrywę o regulowanym docisku</w:t>
            </w:r>
          </w:p>
          <w:p w:rsidR="00CA5F6E" w:rsidRPr="001F1ACE" w:rsidRDefault="00CA5F6E" w:rsidP="005A6E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>Maksymalna szybkość grzania, co najmniej 2,5</w:t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0"/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>C/sek</w:t>
            </w:r>
          </w:p>
          <w:p w:rsidR="00CA5F6E" w:rsidRPr="001F1ACE" w:rsidRDefault="00CA5F6E" w:rsidP="005A6E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 xml:space="preserve">Zakres programowania temperatury 0 - 100 </w:t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0"/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 xml:space="preserve">C </w:t>
            </w:r>
          </w:p>
          <w:p w:rsidR="00CA5F6E" w:rsidRPr="001F1ACE" w:rsidRDefault="00CA5F6E" w:rsidP="005A6E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 xml:space="preserve">Dokładność ustalenia temperatury nie gorsza niż </w:t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 xml:space="preserve">0,2 </w:t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0"/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>C przy zaprogramowanej temperaturze</w:t>
            </w:r>
          </w:p>
          <w:p w:rsidR="00CA5F6E" w:rsidRPr="001F1ACE" w:rsidRDefault="00CA5F6E" w:rsidP="005A6E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 xml:space="preserve">Równomierność rozkładu temperatury na płycie nie gorsza niż </w:t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1"/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 xml:space="preserve">0,4 </w:t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B0"/>
            </w: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>C w 10 sek. do zaprogramowanej temperatury</w:t>
            </w:r>
          </w:p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 xml:space="preserve">Blok grzejny musi posiadać gradient </w:t>
            </w:r>
            <w:r w:rsidRPr="001F1ACE">
              <w:rPr>
                <w:rFonts w:ascii="Arial" w:hAnsi="Arial" w:cs="Arial"/>
                <w:sz w:val="18"/>
                <w:szCs w:val="18"/>
              </w:rPr>
              <w:lastRenderedPageBreak/>
              <w:t>termiczny umożliwiający jednoczesną optymalizację warunków reakcji, dla co najmniej 8 reagentów</w:t>
            </w:r>
          </w:p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System gradientu termicznego musi zapewniać jednakowe czasy inkubacji dla wszystkich optymalizowanych temperatur gradientu – tzw. gradient dynamiczny</w:t>
            </w:r>
          </w:p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Maksymalna rozpiętość zakresu gradientu termicznego, co najmniej 24 °C</w:t>
            </w:r>
          </w:p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>Minimalna rozpiętość zakresu gradientu termicznego 1 °C</w:t>
            </w:r>
          </w:p>
          <w:p w:rsidR="00CA5F6E" w:rsidRPr="001F1ACE" w:rsidRDefault="00CA5F6E" w:rsidP="005A6EDE">
            <w:pPr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 xml:space="preserve">Zakres temperatury, w której można programować gradient, co najmniej od 30 do 100 °C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Default="00CA5F6E" w:rsidP="005A6EDE">
            <w:pPr>
              <w:jc w:val="center"/>
            </w:pPr>
            <w:r w:rsidRPr="008651E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lastRenderedPageBreak/>
              <w:t>TAK</w:t>
            </w:r>
            <w:r w:rsidR="00FD4868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/NIE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NIE – 0 pkt</w:t>
            </w:r>
          </w:p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 -5 pkt</w:t>
            </w: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>Zgrzewarka do folii na płytkach 96 i 384 dołkowych oraz pipeta 8-pkanałowa z zakresem 5-50ul.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Default="00CA5F6E" w:rsidP="005A6EDE">
            <w:pPr>
              <w:jc w:val="center"/>
            </w:pPr>
            <w:r w:rsidRPr="008651E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>W skład zestawu musi wchodzić UPS zapewniający czas podtrzymywania przy 100% obciążenia przez minimalnie 14 min i 50% obciążenia przez minimalnie 30 min dla 1800 W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Default="00CA5F6E" w:rsidP="005A6EDE">
            <w:pPr>
              <w:jc w:val="center"/>
            </w:pPr>
            <w:r w:rsidRPr="008651E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6EDE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sz w:val="18"/>
                <w:szCs w:val="18"/>
              </w:rPr>
              <w:t>Gwarancja i serwis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B54090" w:rsidP="005A6E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Min.</w:t>
            </w:r>
            <w:r w:rsidR="00CA5F6E" w:rsidRPr="001F1ACE">
              <w:rPr>
                <w:rFonts w:ascii="Arial" w:hAnsi="Arial" w:cs="Arial"/>
                <w:color w:val="000000"/>
                <w:sz w:val="18"/>
                <w:szCs w:val="18"/>
              </w:rPr>
              <w:t xml:space="preserve">36 miesięcy </w:t>
            </w:r>
          </w:p>
          <w:p w:rsidR="00CA5F6E" w:rsidRPr="001F1ACE" w:rsidRDefault="00CA5F6E" w:rsidP="005A6E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518D4" w:rsidP="00C518D4">
            <w:pPr>
              <w:widowControl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C518D4">
              <w:t xml:space="preserve">Ocena  zgodna z zapisami SIWZ </w:t>
            </w:r>
            <w:proofErr w:type="spellStart"/>
            <w:r w:rsidRPr="00C518D4">
              <w:t>pkt</w:t>
            </w:r>
            <w:proofErr w:type="spellEnd"/>
            <w:r w:rsidRPr="00C518D4">
              <w:t xml:space="preserve"> 10 „</w:t>
            </w:r>
            <w:r w:rsidRPr="00C518D4">
              <w:rPr>
                <w:b/>
              </w:rPr>
              <w:t>Sposób obliczenia ceny, kryteria oceny ofert i sposób ich oceny</w:t>
            </w:r>
            <w:r>
              <w:rPr>
                <w:b/>
                <w:sz w:val="26"/>
                <w:szCs w:val="26"/>
              </w:rPr>
              <w:t>”</w:t>
            </w:r>
          </w:p>
        </w:tc>
      </w:tr>
      <w:tr w:rsidR="00C518D4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D4" w:rsidRPr="005A6EDE" w:rsidRDefault="00C518D4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D4" w:rsidRPr="001F1ACE" w:rsidRDefault="00C518D4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D4" w:rsidRDefault="00C518D4" w:rsidP="005A6E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ACE">
              <w:rPr>
                <w:rFonts w:ascii="Arial" w:hAnsi="Arial" w:cs="Arial"/>
                <w:color w:val="000000"/>
                <w:sz w:val="18"/>
                <w:szCs w:val="18"/>
              </w:rPr>
              <w:t>24 miesiące na UPS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D4" w:rsidRPr="001F1ACE" w:rsidRDefault="00C518D4" w:rsidP="005A6EDE">
            <w:pPr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D4" w:rsidRPr="001F1ACE" w:rsidRDefault="00C518D4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D4" w:rsidRPr="001F1ACE" w:rsidRDefault="00C518D4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bCs/>
                <w:sz w:val="18"/>
                <w:szCs w:val="18"/>
              </w:rPr>
              <w:t>Naprawa do 21 dni roboczych a w przypadku potrzeby sprowadzenia części z zagranicy do 28 dni roboczych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suppressAutoHyphens/>
              <w:spacing w:after="0" w:line="240" w:lineRule="auto"/>
              <w:ind w:left="708" w:hanging="360"/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suppressAutoHyphens/>
              <w:spacing w:after="0" w:line="240" w:lineRule="auto"/>
              <w:ind w:left="708" w:hanging="360"/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CA5F6E" w:rsidRPr="001F1ACE" w:rsidTr="005A6EDE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5A6EDE" w:rsidRDefault="00CA5F6E" w:rsidP="005A6E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sz w:val="18"/>
                <w:szCs w:val="18"/>
              </w:rPr>
              <w:t>Reakcja serwisu do 2 dni roboczych. Przez reakcję serwisu rozumie się kontakt serwisanta, po zgłoszeniu, drogą mailową lub telefonicznie w celu wstępnego zdiagnozowania problemu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CA5F6E" w:rsidRPr="001F1ACE" w:rsidTr="005A6ED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5A6EDE" w:rsidRDefault="00CA5F6E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6EDE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sz w:val="18"/>
                <w:szCs w:val="18"/>
              </w:rPr>
              <w:t>Certyfikaty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6" w:rsidRPr="00953FC6" w:rsidRDefault="00953FC6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bookmarkStart w:id="0" w:name="_GoBack"/>
            <w:r w:rsidRPr="009073A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System (czytnik i generator emulsji) musi posiadać Certfikat CE-IVD</w:t>
            </w:r>
            <w:r w:rsidRPr="00953FC6"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</w:p>
          <w:bookmarkEnd w:id="0"/>
          <w:p w:rsidR="00CA5F6E" w:rsidRPr="001F1ACE" w:rsidRDefault="00CA5F6E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F1ACE">
              <w:rPr>
                <w:rFonts w:ascii="Arial" w:hAnsi="Arial" w:cs="Arial"/>
                <w:sz w:val="18"/>
                <w:szCs w:val="18"/>
              </w:rPr>
              <w:t xml:space="preserve">Certyfikaty CE lub deklaracje zgodności na termocykler 96 dołkowy, zgrzewarkę </w:t>
            </w:r>
            <w:r w:rsidRPr="001F1ACE">
              <w:rPr>
                <w:rFonts w:ascii="Arial" w:hAnsi="Arial" w:cs="Arial"/>
                <w:sz w:val="18"/>
                <w:szCs w:val="18"/>
              </w:rPr>
              <w:lastRenderedPageBreak/>
              <w:t>do folii na płytkach 96 dołków oraz UPS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6E" w:rsidRPr="001F1ACE" w:rsidRDefault="00CA5F6E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871B32" w:rsidRPr="001F1ACE" w:rsidTr="005A6ED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2" w:rsidRPr="005A6EDE" w:rsidRDefault="00B94141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6EDE">
              <w:rPr>
                <w:rFonts w:ascii="Arial" w:eastAsia="Calibri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32" w:rsidRPr="001F1ACE" w:rsidRDefault="00871B32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2" w:rsidRPr="00985FFC" w:rsidRDefault="00871B32" w:rsidP="005A6E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85FFC">
              <w:rPr>
                <w:bCs/>
                <w:color w:val="000000"/>
              </w:rPr>
              <w:t>Szkolenie personelu w miejscu użytkowania aparatu obejmujące obsługę urządzenia, optymalizację ustawień dla eksperymentów, nauka programów do analizy danych.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32" w:rsidRPr="001F1ACE" w:rsidRDefault="009073AA" w:rsidP="005A6EDE">
            <w:pPr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2" w:rsidRPr="001F1ACE" w:rsidRDefault="00871B32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32" w:rsidRPr="001F1ACE" w:rsidRDefault="00871B32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871B32" w:rsidRPr="001F1ACE" w:rsidTr="005A6ED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2" w:rsidRPr="005A6EDE" w:rsidRDefault="00B94141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6EDE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32" w:rsidRPr="001F1ACE" w:rsidRDefault="00871B32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2" w:rsidRPr="00985FFC" w:rsidRDefault="00871B32" w:rsidP="005A6E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85FFC">
              <w:rPr>
                <w:bCs/>
                <w:color w:val="000000"/>
              </w:rPr>
              <w:t>Te</w:t>
            </w:r>
            <w:r>
              <w:rPr>
                <w:bCs/>
                <w:color w:val="000000"/>
              </w:rPr>
              <w:t>rmin dostawy – nie później niż do 23.11.2018</w:t>
            </w:r>
            <w:r w:rsidRPr="00985FFC">
              <w:rPr>
                <w:bCs/>
                <w:color w:val="000000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32" w:rsidRPr="001F1ACE" w:rsidRDefault="009073AA" w:rsidP="005A6EDE">
            <w:pPr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2" w:rsidRPr="001F1ACE" w:rsidRDefault="00871B32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32" w:rsidRPr="001F1ACE" w:rsidRDefault="00871B32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871B32" w:rsidRPr="001F1ACE" w:rsidTr="005A6ED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2" w:rsidRPr="005A6EDE" w:rsidRDefault="00B94141" w:rsidP="005A6EDE">
            <w:pPr>
              <w:widowControl w:val="0"/>
              <w:adjustRightInd w:val="0"/>
              <w:spacing w:line="36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6EDE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32" w:rsidRPr="001F1ACE" w:rsidRDefault="00871B32" w:rsidP="005A6EDE">
            <w:pPr>
              <w:widowControl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2" w:rsidRPr="009073AA" w:rsidRDefault="00871B32" w:rsidP="005A6EDE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073AA">
              <w:rPr>
                <w:bCs/>
                <w:color w:val="000000" w:themeColor="text1"/>
              </w:rPr>
              <w:t>Autoryzowany serwis gwarancyjny i pogwarancyjny lub wskazany przez Producenta. Podać nazwę, adres i telefon.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32" w:rsidRPr="001F1ACE" w:rsidRDefault="009073AA" w:rsidP="005A6EDE">
            <w:pPr>
              <w:jc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F1AC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2" w:rsidRPr="001F1ACE" w:rsidRDefault="00871B32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32" w:rsidRPr="001F1ACE" w:rsidRDefault="00871B32" w:rsidP="005A6EDE">
            <w:pPr>
              <w:widowControl w:val="0"/>
              <w:adjustRightInd w:val="0"/>
              <w:spacing w:line="360" w:lineRule="atLeast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</w:tbl>
    <w:p w:rsidR="00C3227E" w:rsidRDefault="00C3227E" w:rsidP="00AC234A">
      <w:pPr>
        <w:rPr>
          <w:rFonts w:ascii="Times New Roman" w:hAnsi="Times New Roman" w:cs="Times New Roman"/>
        </w:rPr>
      </w:pPr>
    </w:p>
    <w:p w:rsidR="00AC234A" w:rsidRPr="00C3227E" w:rsidRDefault="00AC234A" w:rsidP="00AC234A">
      <w:pPr>
        <w:rPr>
          <w:rFonts w:ascii="Times New Roman" w:hAnsi="Times New Roman" w:cs="Times New Roman"/>
        </w:rPr>
      </w:pPr>
      <w:proofErr w:type="spellStart"/>
      <w:r w:rsidRPr="00C3227E">
        <w:rPr>
          <w:rFonts w:ascii="Times New Roman" w:hAnsi="Times New Roman" w:cs="Times New Roman"/>
        </w:rPr>
        <w:t>Data………………………………Podpis</w:t>
      </w:r>
      <w:proofErr w:type="spellEnd"/>
      <w:r w:rsidRPr="00C3227E">
        <w:rPr>
          <w:rFonts w:ascii="Times New Roman" w:hAnsi="Times New Roman" w:cs="Times New Roman"/>
        </w:rPr>
        <w:t xml:space="preserve"> </w:t>
      </w:r>
      <w:proofErr w:type="spellStart"/>
      <w:r w:rsidRPr="00C3227E">
        <w:rPr>
          <w:rFonts w:ascii="Times New Roman" w:hAnsi="Times New Roman" w:cs="Times New Roman"/>
        </w:rPr>
        <w:t>Wytkonawcy</w:t>
      </w:r>
      <w:proofErr w:type="spellEnd"/>
      <w:r w:rsidRPr="00C3227E">
        <w:rPr>
          <w:rFonts w:ascii="Times New Roman" w:hAnsi="Times New Roman" w:cs="Times New Roman"/>
        </w:rPr>
        <w:t>…………………………………..)</w:t>
      </w:r>
    </w:p>
    <w:p w:rsidR="00AC234A" w:rsidRDefault="00AC234A" w:rsidP="00AC234A">
      <w:pPr>
        <w:rPr>
          <w:rFonts w:ascii="Calibri" w:hAnsi="Calibri"/>
          <w:color w:val="000000"/>
        </w:rPr>
      </w:pPr>
    </w:p>
    <w:p w:rsidR="00FD6ADC" w:rsidRDefault="00FD6ADC"/>
    <w:sectPr w:rsidR="00FD6ADC" w:rsidSect="00667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1B" w:rsidRDefault="007A7B1B" w:rsidP="005A6EDE">
      <w:pPr>
        <w:spacing w:after="0" w:line="240" w:lineRule="auto"/>
      </w:pPr>
      <w:r>
        <w:separator/>
      </w:r>
    </w:p>
  </w:endnote>
  <w:endnote w:type="continuationSeparator" w:id="0">
    <w:p w:rsidR="007A7B1B" w:rsidRDefault="007A7B1B" w:rsidP="005A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DE" w:rsidRDefault="005A6E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DE" w:rsidRDefault="005A6ED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DE" w:rsidRDefault="005A6E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1B" w:rsidRDefault="007A7B1B" w:rsidP="005A6EDE">
      <w:pPr>
        <w:spacing w:after="0" w:line="240" w:lineRule="auto"/>
      </w:pPr>
      <w:r>
        <w:separator/>
      </w:r>
    </w:p>
  </w:footnote>
  <w:footnote w:type="continuationSeparator" w:id="0">
    <w:p w:rsidR="007A7B1B" w:rsidRDefault="007A7B1B" w:rsidP="005A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DE" w:rsidRDefault="005A6E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DE" w:rsidRDefault="005A6EDE">
    <w:pPr>
      <w:pStyle w:val="Nagwek"/>
    </w:pPr>
    <w:r>
      <w:t xml:space="preserve">Załącznik nr 5A- Digital PCR- </w:t>
    </w:r>
    <w:proofErr w:type="spellStart"/>
    <w:r>
      <w:t>szt</w:t>
    </w:r>
    <w:proofErr w:type="spellEnd"/>
    <w:r>
      <w:t xml:space="preserve"> 1</w:t>
    </w:r>
  </w:p>
  <w:p w:rsidR="005A6EDE" w:rsidRDefault="005A6EDE">
    <w:pPr>
      <w:pStyle w:val="Nagwek"/>
    </w:pPr>
    <w:r>
      <w:t>Dotyczy Pakietu nt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DE" w:rsidRDefault="005A6E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50D6"/>
    <w:multiLevelType w:val="hybridMultilevel"/>
    <w:tmpl w:val="C774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F6E"/>
    <w:rsid w:val="00001C8E"/>
    <w:rsid w:val="00013EBA"/>
    <w:rsid w:val="00025D7A"/>
    <w:rsid w:val="000338BE"/>
    <w:rsid w:val="00036E0D"/>
    <w:rsid w:val="00050920"/>
    <w:rsid w:val="00051753"/>
    <w:rsid w:val="0005676B"/>
    <w:rsid w:val="00062424"/>
    <w:rsid w:val="00066650"/>
    <w:rsid w:val="000820E2"/>
    <w:rsid w:val="000836DC"/>
    <w:rsid w:val="00096736"/>
    <w:rsid w:val="000B0C2E"/>
    <w:rsid w:val="000B1893"/>
    <w:rsid w:val="000D70B5"/>
    <w:rsid w:val="000D7CF5"/>
    <w:rsid w:val="000E4511"/>
    <w:rsid w:val="000E5A4F"/>
    <w:rsid w:val="000E6B55"/>
    <w:rsid w:val="000F039F"/>
    <w:rsid w:val="000F4ED4"/>
    <w:rsid w:val="00100A7A"/>
    <w:rsid w:val="00103DFA"/>
    <w:rsid w:val="001043F6"/>
    <w:rsid w:val="001073CC"/>
    <w:rsid w:val="00112DEE"/>
    <w:rsid w:val="00114444"/>
    <w:rsid w:val="00116F82"/>
    <w:rsid w:val="0012585B"/>
    <w:rsid w:val="00133E02"/>
    <w:rsid w:val="001372A1"/>
    <w:rsid w:val="0016087F"/>
    <w:rsid w:val="00162168"/>
    <w:rsid w:val="00170559"/>
    <w:rsid w:val="00174870"/>
    <w:rsid w:val="0019000A"/>
    <w:rsid w:val="00195A1F"/>
    <w:rsid w:val="001A45CC"/>
    <w:rsid w:val="001A4B38"/>
    <w:rsid w:val="001A507F"/>
    <w:rsid w:val="001A54D9"/>
    <w:rsid w:val="001B475A"/>
    <w:rsid w:val="001B6DBC"/>
    <w:rsid w:val="001C097D"/>
    <w:rsid w:val="001D152C"/>
    <w:rsid w:val="001D57E2"/>
    <w:rsid w:val="001E2464"/>
    <w:rsid w:val="001F4B5F"/>
    <w:rsid w:val="002063D1"/>
    <w:rsid w:val="002204DD"/>
    <w:rsid w:val="0022192D"/>
    <w:rsid w:val="00221995"/>
    <w:rsid w:val="00222CED"/>
    <w:rsid w:val="0022435E"/>
    <w:rsid w:val="00226E94"/>
    <w:rsid w:val="0022731B"/>
    <w:rsid w:val="00234D10"/>
    <w:rsid w:val="00235F89"/>
    <w:rsid w:val="00237D22"/>
    <w:rsid w:val="00241223"/>
    <w:rsid w:val="00241A83"/>
    <w:rsid w:val="0024794F"/>
    <w:rsid w:val="00263973"/>
    <w:rsid w:val="00280F25"/>
    <w:rsid w:val="002A1E5E"/>
    <w:rsid w:val="002B01BA"/>
    <w:rsid w:val="002C31D7"/>
    <w:rsid w:val="002D080B"/>
    <w:rsid w:val="002D5C04"/>
    <w:rsid w:val="002E4E54"/>
    <w:rsid w:val="002E5993"/>
    <w:rsid w:val="002F426A"/>
    <w:rsid w:val="00305DDB"/>
    <w:rsid w:val="00306867"/>
    <w:rsid w:val="00307978"/>
    <w:rsid w:val="00315336"/>
    <w:rsid w:val="00320617"/>
    <w:rsid w:val="0032451F"/>
    <w:rsid w:val="003377D5"/>
    <w:rsid w:val="00337914"/>
    <w:rsid w:val="003465C0"/>
    <w:rsid w:val="00364460"/>
    <w:rsid w:val="00367E5E"/>
    <w:rsid w:val="003825C9"/>
    <w:rsid w:val="00382C6E"/>
    <w:rsid w:val="0038302B"/>
    <w:rsid w:val="003C4986"/>
    <w:rsid w:val="003C7D4E"/>
    <w:rsid w:val="003D492A"/>
    <w:rsid w:val="003D6641"/>
    <w:rsid w:val="003E2D89"/>
    <w:rsid w:val="003E4C6A"/>
    <w:rsid w:val="003E5677"/>
    <w:rsid w:val="003E5A67"/>
    <w:rsid w:val="003E7AB8"/>
    <w:rsid w:val="003F0E16"/>
    <w:rsid w:val="003F1E24"/>
    <w:rsid w:val="003F2030"/>
    <w:rsid w:val="003F3C72"/>
    <w:rsid w:val="00401DBB"/>
    <w:rsid w:val="00403E94"/>
    <w:rsid w:val="00407A1B"/>
    <w:rsid w:val="00415E68"/>
    <w:rsid w:val="00417E16"/>
    <w:rsid w:val="004347BF"/>
    <w:rsid w:val="00445CCE"/>
    <w:rsid w:val="00446E9E"/>
    <w:rsid w:val="00447289"/>
    <w:rsid w:val="00454B7C"/>
    <w:rsid w:val="00455613"/>
    <w:rsid w:val="004567CD"/>
    <w:rsid w:val="00457FEA"/>
    <w:rsid w:val="00462D69"/>
    <w:rsid w:val="0046354B"/>
    <w:rsid w:val="00475589"/>
    <w:rsid w:val="0048257C"/>
    <w:rsid w:val="00491336"/>
    <w:rsid w:val="00496206"/>
    <w:rsid w:val="004A1FE0"/>
    <w:rsid w:val="004A5D6B"/>
    <w:rsid w:val="004A75DE"/>
    <w:rsid w:val="004B0C3C"/>
    <w:rsid w:val="004B5945"/>
    <w:rsid w:val="004B5CD2"/>
    <w:rsid w:val="004B6A81"/>
    <w:rsid w:val="004C56B2"/>
    <w:rsid w:val="004D5E13"/>
    <w:rsid w:val="004D5F36"/>
    <w:rsid w:val="004D6DB9"/>
    <w:rsid w:val="004F63E3"/>
    <w:rsid w:val="0050586B"/>
    <w:rsid w:val="005104B3"/>
    <w:rsid w:val="005139A4"/>
    <w:rsid w:val="00520B10"/>
    <w:rsid w:val="00526CF0"/>
    <w:rsid w:val="0052791A"/>
    <w:rsid w:val="00527D8C"/>
    <w:rsid w:val="00537BB8"/>
    <w:rsid w:val="00537ECB"/>
    <w:rsid w:val="00547460"/>
    <w:rsid w:val="00554F17"/>
    <w:rsid w:val="00556C74"/>
    <w:rsid w:val="00570A62"/>
    <w:rsid w:val="005815FE"/>
    <w:rsid w:val="00581E5C"/>
    <w:rsid w:val="005922F4"/>
    <w:rsid w:val="005A3E51"/>
    <w:rsid w:val="005A6EDE"/>
    <w:rsid w:val="005C1951"/>
    <w:rsid w:val="005C60CE"/>
    <w:rsid w:val="005E51CB"/>
    <w:rsid w:val="005E6265"/>
    <w:rsid w:val="005E6B18"/>
    <w:rsid w:val="005F2516"/>
    <w:rsid w:val="005F3F30"/>
    <w:rsid w:val="00622B70"/>
    <w:rsid w:val="00622EF0"/>
    <w:rsid w:val="00624988"/>
    <w:rsid w:val="00633C83"/>
    <w:rsid w:val="006413A8"/>
    <w:rsid w:val="0064526B"/>
    <w:rsid w:val="00654592"/>
    <w:rsid w:val="006562DD"/>
    <w:rsid w:val="00656E70"/>
    <w:rsid w:val="00664C29"/>
    <w:rsid w:val="0066787B"/>
    <w:rsid w:val="00680822"/>
    <w:rsid w:val="00687861"/>
    <w:rsid w:val="0069541E"/>
    <w:rsid w:val="006B45B4"/>
    <w:rsid w:val="006D3A29"/>
    <w:rsid w:val="0070101F"/>
    <w:rsid w:val="00721BE6"/>
    <w:rsid w:val="00736854"/>
    <w:rsid w:val="0074514F"/>
    <w:rsid w:val="00751C84"/>
    <w:rsid w:val="00765236"/>
    <w:rsid w:val="0077152D"/>
    <w:rsid w:val="00772006"/>
    <w:rsid w:val="0079117D"/>
    <w:rsid w:val="007A2F6A"/>
    <w:rsid w:val="007A3FB9"/>
    <w:rsid w:val="007A70B1"/>
    <w:rsid w:val="007A7B1B"/>
    <w:rsid w:val="007B3876"/>
    <w:rsid w:val="007C2B14"/>
    <w:rsid w:val="007D0587"/>
    <w:rsid w:val="007D1AA6"/>
    <w:rsid w:val="007D7C59"/>
    <w:rsid w:val="007E1AB3"/>
    <w:rsid w:val="007E74A4"/>
    <w:rsid w:val="007E76AB"/>
    <w:rsid w:val="007F6988"/>
    <w:rsid w:val="007F698D"/>
    <w:rsid w:val="00802979"/>
    <w:rsid w:val="008051D1"/>
    <w:rsid w:val="00810471"/>
    <w:rsid w:val="0081074D"/>
    <w:rsid w:val="00810876"/>
    <w:rsid w:val="00813938"/>
    <w:rsid w:val="00817CE7"/>
    <w:rsid w:val="00822591"/>
    <w:rsid w:val="008311BA"/>
    <w:rsid w:val="008328BC"/>
    <w:rsid w:val="008436D7"/>
    <w:rsid w:val="00844111"/>
    <w:rsid w:val="0085064E"/>
    <w:rsid w:val="008619DA"/>
    <w:rsid w:val="00863AF8"/>
    <w:rsid w:val="00871B32"/>
    <w:rsid w:val="00881FCC"/>
    <w:rsid w:val="00884DFE"/>
    <w:rsid w:val="00891EE1"/>
    <w:rsid w:val="00892E47"/>
    <w:rsid w:val="008949E1"/>
    <w:rsid w:val="00895688"/>
    <w:rsid w:val="008B1899"/>
    <w:rsid w:val="008B4424"/>
    <w:rsid w:val="008B50F4"/>
    <w:rsid w:val="008D1453"/>
    <w:rsid w:val="009073AA"/>
    <w:rsid w:val="00907811"/>
    <w:rsid w:val="00915B19"/>
    <w:rsid w:val="0091602F"/>
    <w:rsid w:val="009172DB"/>
    <w:rsid w:val="00923845"/>
    <w:rsid w:val="00946419"/>
    <w:rsid w:val="00947B65"/>
    <w:rsid w:val="0095049D"/>
    <w:rsid w:val="00953FC6"/>
    <w:rsid w:val="00955E96"/>
    <w:rsid w:val="009574D9"/>
    <w:rsid w:val="00957936"/>
    <w:rsid w:val="0096464B"/>
    <w:rsid w:val="0096742A"/>
    <w:rsid w:val="00970021"/>
    <w:rsid w:val="009711A9"/>
    <w:rsid w:val="00976AB9"/>
    <w:rsid w:val="00977DBB"/>
    <w:rsid w:val="00982D9A"/>
    <w:rsid w:val="009A2B2A"/>
    <w:rsid w:val="009A3F5D"/>
    <w:rsid w:val="009C1264"/>
    <w:rsid w:val="009C56BF"/>
    <w:rsid w:val="009D0F4F"/>
    <w:rsid w:val="009D7A20"/>
    <w:rsid w:val="009E4CF7"/>
    <w:rsid w:val="009F25DA"/>
    <w:rsid w:val="00A061F7"/>
    <w:rsid w:val="00A155CA"/>
    <w:rsid w:val="00A24C3B"/>
    <w:rsid w:val="00A42C0E"/>
    <w:rsid w:val="00A64E15"/>
    <w:rsid w:val="00A82319"/>
    <w:rsid w:val="00A943C9"/>
    <w:rsid w:val="00A9450D"/>
    <w:rsid w:val="00A965FA"/>
    <w:rsid w:val="00AA41E8"/>
    <w:rsid w:val="00AA53E3"/>
    <w:rsid w:val="00AA63EA"/>
    <w:rsid w:val="00AB4B0B"/>
    <w:rsid w:val="00AB5663"/>
    <w:rsid w:val="00AB7E38"/>
    <w:rsid w:val="00AC0782"/>
    <w:rsid w:val="00AC234A"/>
    <w:rsid w:val="00AC7912"/>
    <w:rsid w:val="00AD4667"/>
    <w:rsid w:val="00AD70E4"/>
    <w:rsid w:val="00AD764C"/>
    <w:rsid w:val="00AE4D4C"/>
    <w:rsid w:val="00AE5753"/>
    <w:rsid w:val="00AE614F"/>
    <w:rsid w:val="00AF3E48"/>
    <w:rsid w:val="00AF5114"/>
    <w:rsid w:val="00B0163C"/>
    <w:rsid w:val="00B16782"/>
    <w:rsid w:val="00B178C4"/>
    <w:rsid w:val="00B2302C"/>
    <w:rsid w:val="00B24352"/>
    <w:rsid w:val="00B3708E"/>
    <w:rsid w:val="00B414F8"/>
    <w:rsid w:val="00B42CE5"/>
    <w:rsid w:val="00B478F5"/>
    <w:rsid w:val="00B50073"/>
    <w:rsid w:val="00B54090"/>
    <w:rsid w:val="00B6443D"/>
    <w:rsid w:val="00B73719"/>
    <w:rsid w:val="00B83D39"/>
    <w:rsid w:val="00B85619"/>
    <w:rsid w:val="00B94141"/>
    <w:rsid w:val="00B959B2"/>
    <w:rsid w:val="00BB1DA8"/>
    <w:rsid w:val="00BB7560"/>
    <w:rsid w:val="00BC77E5"/>
    <w:rsid w:val="00BD119C"/>
    <w:rsid w:val="00BD73EC"/>
    <w:rsid w:val="00C05300"/>
    <w:rsid w:val="00C20A43"/>
    <w:rsid w:val="00C26733"/>
    <w:rsid w:val="00C3227E"/>
    <w:rsid w:val="00C324BA"/>
    <w:rsid w:val="00C36E19"/>
    <w:rsid w:val="00C43652"/>
    <w:rsid w:val="00C44E52"/>
    <w:rsid w:val="00C455DE"/>
    <w:rsid w:val="00C45FCB"/>
    <w:rsid w:val="00C46815"/>
    <w:rsid w:val="00C518D4"/>
    <w:rsid w:val="00C53B56"/>
    <w:rsid w:val="00C65EAC"/>
    <w:rsid w:val="00C6647A"/>
    <w:rsid w:val="00C750C2"/>
    <w:rsid w:val="00C8575F"/>
    <w:rsid w:val="00C92F20"/>
    <w:rsid w:val="00C94C6D"/>
    <w:rsid w:val="00C95E2F"/>
    <w:rsid w:val="00C95EB3"/>
    <w:rsid w:val="00CA4F67"/>
    <w:rsid w:val="00CA5F6E"/>
    <w:rsid w:val="00CB1BFC"/>
    <w:rsid w:val="00CB62B1"/>
    <w:rsid w:val="00CC1A9D"/>
    <w:rsid w:val="00CC25A6"/>
    <w:rsid w:val="00CC2DD1"/>
    <w:rsid w:val="00CC6287"/>
    <w:rsid w:val="00CC71FA"/>
    <w:rsid w:val="00CD1A46"/>
    <w:rsid w:val="00CD2BC5"/>
    <w:rsid w:val="00CD6C3D"/>
    <w:rsid w:val="00CF376E"/>
    <w:rsid w:val="00D13635"/>
    <w:rsid w:val="00D15AD0"/>
    <w:rsid w:val="00D2008A"/>
    <w:rsid w:val="00D2199C"/>
    <w:rsid w:val="00D30AF7"/>
    <w:rsid w:val="00D33952"/>
    <w:rsid w:val="00D44103"/>
    <w:rsid w:val="00D502FF"/>
    <w:rsid w:val="00D5669A"/>
    <w:rsid w:val="00D66549"/>
    <w:rsid w:val="00D822C7"/>
    <w:rsid w:val="00D9319B"/>
    <w:rsid w:val="00D9622C"/>
    <w:rsid w:val="00DA0276"/>
    <w:rsid w:val="00DA2A6D"/>
    <w:rsid w:val="00DA317C"/>
    <w:rsid w:val="00DB2DEA"/>
    <w:rsid w:val="00DB3F15"/>
    <w:rsid w:val="00DC3709"/>
    <w:rsid w:val="00DC3B0B"/>
    <w:rsid w:val="00DC4A2B"/>
    <w:rsid w:val="00DC53A9"/>
    <w:rsid w:val="00DC5C2F"/>
    <w:rsid w:val="00DC6319"/>
    <w:rsid w:val="00DC7705"/>
    <w:rsid w:val="00DD765F"/>
    <w:rsid w:val="00DF2702"/>
    <w:rsid w:val="00DF3CD8"/>
    <w:rsid w:val="00E03404"/>
    <w:rsid w:val="00E14397"/>
    <w:rsid w:val="00E17784"/>
    <w:rsid w:val="00E20A2F"/>
    <w:rsid w:val="00E22725"/>
    <w:rsid w:val="00E25058"/>
    <w:rsid w:val="00E31462"/>
    <w:rsid w:val="00E34849"/>
    <w:rsid w:val="00E45850"/>
    <w:rsid w:val="00E50F84"/>
    <w:rsid w:val="00E5661F"/>
    <w:rsid w:val="00E67611"/>
    <w:rsid w:val="00E70FD3"/>
    <w:rsid w:val="00E80B49"/>
    <w:rsid w:val="00E87E22"/>
    <w:rsid w:val="00E937A6"/>
    <w:rsid w:val="00E9606C"/>
    <w:rsid w:val="00E9759C"/>
    <w:rsid w:val="00EC69D0"/>
    <w:rsid w:val="00ED0413"/>
    <w:rsid w:val="00EE0232"/>
    <w:rsid w:val="00EE04B5"/>
    <w:rsid w:val="00EE0EB7"/>
    <w:rsid w:val="00EE2364"/>
    <w:rsid w:val="00EE34CE"/>
    <w:rsid w:val="00EE60E9"/>
    <w:rsid w:val="00EF306F"/>
    <w:rsid w:val="00EF3B67"/>
    <w:rsid w:val="00F1421A"/>
    <w:rsid w:val="00F163F7"/>
    <w:rsid w:val="00F17AD5"/>
    <w:rsid w:val="00F20B3C"/>
    <w:rsid w:val="00F23D5D"/>
    <w:rsid w:val="00F31A7C"/>
    <w:rsid w:val="00F37D63"/>
    <w:rsid w:val="00F402DA"/>
    <w:rsid w:val="00F43BE2"/>
    <w:rsid w:val="00F46C69"/>
    <w:rsid w:val="00F63290"/>
    <w:rsid w:val="00F94FA1"/>
    <w:rsid w:val="00FA5035"/>
    <w:rsid w:val="00FA6AA8"/>
    <w:rsid w:val="00FB0EDE"/>
    <w:rsid w:val="00FB19FA"/>
    <w:rsid w:val="00FB2F80"/>
    <w:rsid w:val="00FB66C7"/>
    <w:rsid w:val="00FB6C00"/>
    <w:rsid w:val="00FB715F"/>
    <w:rsid w:val="00FC269C"/>
    <w:rsid w:val="00FD4474"/>
    <w:rsid w:val="00FD4868"/>
    <w:rsid w:val="00FD6ADC"/>
    <w:rsid w:val="00FE0AF9"/>
    <w:rsid w:val="00FE1086"/>
    <w:rsid w:val="00FE3ED1"/>
    <w:rsid w:val="00FF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6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A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6EDE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5A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6ED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6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Kowalik</dc:creator>
  <cp:lastModifiedBy>Izabela Armata</cp:lastModifiedBy>
  <cp:revision>12</cp:revision>
  <dcterms:created xsi:type="dcterms:W3CDTF">2018-10-01T07:18:00Z</dcterms:created>
  <dcterms:modified xsi:type="dcterms:W3CDTF">2018-10-05T07:09:00Z</dcterms:modified>
</cp:coreProperties>
</file>